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40.0" w:type="dxa"/>
        <w:jc w:val="left"/>
        <w:tblInd w:w="-435.0" w:type="dxa"/>
        <w:tblLayout w:type="fixed"/>
        <w:tblLook w:val="0600"/>
      </w:tblPr>
      <w:tblGrid>
        <w:gridCol w:w="5295"/>
        <w:gridCol w:w="5145"/>
        <w:tblGridChange w:id="0">
          <w:tblGrid>
            <w:gridCol w:w="5295"/>
            <w:gridCol w:w="51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2">
            <w:pPr>
              <w:widowControl w:val="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SỞ GIÁO DỤC VÀ ĐÀO TẠO HÀ NỘI</w:t>
            </w:r>
          </w:p>
          <w:p w:rsidR="00000000" w:rsidDel="00000000" w:rsidP="00000000" w:rsidRDefault="00000000" w:rsidRPr="00000000" w14:paraId="00000003">
            <w:pPr>
              <w:widowControl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TRƯỜNG THCS&amp;THPT LƯƠNG THẾ VINH</w:t>
            </w:r>
          </w:p>
        </w:tc>
        <w:tc>
          <w:tcPr>
            <w:shd w:fill="auto" w:val="clear"/>
            <w:tcMar>
              <w:top w:w="100.0" w:type="dxa"/>
              <w:left w:w="100.0" w:type="dxa"/>
              <w:bottom w:w="100.0" w:type="dxa"/>
              <w:right w:w="100.0" w:type="dxa"/>
            </w:tcMar>
          </w:tcPr>
          <w:p w:rsidR="00000000" w:rsidDel="00000000" w:rsidP="00000000" w:rsidRDefault="00000000" w:rsidRPr="00000000" w14:paraId="00000004">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CỘNG HÒA XÃ HỘI CHỦ NGHĨA VIỆT NAM</w:t>
            </w:r>
          </w:p>
          <w:p w:rsidR="00000000" w:rsidDel="00000000" w:rsidP="00000000" w:rsidRDefault="00000000" w:rsidRPr="00000000" w14:paraId="00000005">
            <w:pPr>
              <w:widowControl w:val="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Độc lập - Tự do - Hạnh phúc</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Hà Nội, ngày 2 tháng 3 năm 2025</w:t>
            </w:r>
          </w:p>
        </w:tc>
      </w:tr>
    </w:tbl>
    <w:p w:rsidR="00000000" w:rsidDel="00000000" w:rsidP="00000000" w:rsidRDefault="00000000" w:rsidRPr="00000000" w14:paraId="00000008">
      <w:pPr>
        <w:spacing w:before="240"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THÔNG BÁO</w:t>
      </w:r>
    </w:p>
    <w:p w:rsidR="00000000" w:rsidDel="00000000" w:rsidP="00000000" w:rsidRDefault="00000000" w:rsidRPr="00000000" w14:paraId="00000009">
      <w:pPr>
        <w:spacing w:after="240" w:line="276" w:lineRule="auto"/>
        <w:jc w:val="cente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(V/v: Tổ chức kỳ thi học bổng Văn Như Cương dành cho học sinh xuất sắc lớp 10)</w:t>
      </w:r>
    </w:p>
    <w:p w:rsidR="00000000" w:rsidDel="00000000" w:rsidP="00000000" w:rsidRDefault="00000000" w:rsidRPr="00000000" w14:paraId="0000000A">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6"/>
          <w:szCs w:val="26"/>
          <w:rtl w:val="0"/>
        </w:rPr>
        <w:t xml:space="preserve">1. Giới thiệu về học bổng Văn Như Cương</w:t>
      </w:r>
      <w:r w:rsidDel="00000000" w:rsidR="00000000" w:rsidRPr="00000000">
        <w:rPr>
          <w:rtl w:val="0"/>
        </w:rPr>
      </w:r>
    </w:p>
    <w:p w:rsidR="00000000" w:rsidDel="00000000" w:rsidP="00000000" w:rsidRDefault="00000000" w:rsidRPr="00000000" w14:paraId="0000000B">
      <w:pPr>
        <w:spacing w:line="276"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Năm học 2025-2026, trường THCS&amp;THPT Lương Thế Vinh chính thức triển khai </w:t>
      </w:r>
      <w:r w:rsidDel="00000000" w:rsidR="00000000" w:rsidRPr="00000000">
        <w:rPr>
          <w:rFonts w:ascii="Times New Roman" w:cs="Times New Roman" w:eastAsia="Times New Roman" w:hAnsi="Times New Roman"/>
          <w:b w:val="1"/>
          <w:sz w:val="26"/>
          <w:szCs w:val="26"/>
          <w:rtl w:val="0"/>
        </w:rPr>
        <w:t xml:space="preserve">Học bổng Văn Như Cương </w:t>
      </w:r>
      <w:r w:rsidDel="00000000" w:rsidR="00000000" w:rsidRPr="00000000">
        <w:rPr>
          <w:rFonts w:ascii="Times New Roman" w:cs="Times New Roman" w:eastAsia="Times New Roman" w:hAnsi="Times New Roman"/>
          <w:sz w:val="26"/>
          <w:szCs w:val="26"/>
          <w:rtl w:val="0"/>
        </w:rPr>
        <w:t xml:space="preserve">là chương trình học bổng danh giá dành cho học sinh tuyển sinh vào lớp 10, được đặt theo tên của cố PGS.TS Văn Như Cương – người đã dành cả đời cống hiến cho nền giáo dục Việt Nam và là nhà giáo dục tiên phong cho hệ thống giáo dục ngoài công lập. </w:t>
      </w:r>
    </w:p>
    <w:p w:rsidR="00000000" w:rsidDel="00000000" w:rsidP="00000000" w:rsidRDefault="00000000" w:rsidRPr="00000000" w14:paraId="0000000C">
      <w:pPr>
        <w:spacing w:line="276"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bổng nhằm tôn vinh những học sinh có thành tích xuất sắc với tinh thần nỗ lực vượt khó đúng với tinh thần: </w:t>
      </w:r>
      <w:r w:rsidDel="00000000" w:rsidR="00000000" w:rsidRPr="00000000">
        <w:rPr>
          <w:rFonts w:ascii="Times New Roman" w:cs="Times New Roman" w:eastAsia="Times New Roman" w:hAnsi="Times New Roman"/>
          <w:b w:val="1"/>
          <w:sz w:val="26"/>
          <w:szCs w:val="26"/>
          <w:rtl w:val="0"/>
        </w:rPr>
        <w:t xml:space="preserve">“Có chí thì nên”</w:t>
      </w:r>
      <w:r w:rsidDel="00000000" w:rsidR="00000000" w:rsidRPr="00000000">
        <w:rPr>
          <w:rFonts w:ascii="Times New Roman" w:cs="Times New Roman" w:eastAsia="Times New Roman" w:hAnsi="Times New Roman"/>
          <w:sz w:val="26"/>
          <w:szCs w:val="26"/>
          <w:rtl w:val="0"/>
        </w:rPr>
        <w:t xml:space="preserve"> – đề cao sự kiên trì, lòng trung thực và trách nhiệm với chính bản thân.</w:t>
      </w:r>
    </w:p>
    <w:p w:rsidR="00000000" w:rsidDel="00000000" w:rsidP="00000000" w:rsidRDefault="00000000" w:rsidRPr="00000000" w14:paraId="0000000D">
      <w:pPr>
        <w:spacing w:line="276"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bổng Văn Như Cương không chỉ mang ý nghĩa hỗ trợ về học tập mà còn là một nguồn động lực mạnh mẽ để truyền cảm hứng giúp các em dám mơ ước, dám đương đầu với thử thách. Nhà trường mong muốn khuyến khích và vun đắp những tài năng trẻ, nuôi dưỡng tinh thần hiếu học, đạo đức và trách nhiệm với xã hội.</w:t>
      </w:r>
    </w:p>
    <w:p w:rsidR="00000000" w:rsidDel="00000000" w:rsidP="00000000" w:rsidRDefault="00000000" w:rsidRPr="00000000" w14:paraId="0000000E">
      <w:pPr>
        <w:spacing w:line="276" w:lineRule="auto"/>
        <w:ind w:firstLine="72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Thông tin chi tiết xem tại: </w:t>
      </w:r>
      <w:hyperlink r:id="rId6">
        <w:r w:rsidDel="00000000" w:rsidR="00000000" w:rsidRPr="00000000">
          <w:rPr>
            <w:rFonts w:ascii="Times New Roman" w:cs="Times New Roman" w:eastAsia="Times New Roman" w:hAnsi="Times New Roman"/>
            <w:color w:val="1155cc"/>
            <w:sz w:val="26"/>
            <w:szCs w:val="26"/>
            <w:u w:val="single"/>
            <w:rtl w:val="0"/>
          </w:rPr>
          <w:t xml:space="preserve">https://tuyensinh.luongthevinh.com.vn/hbvnc</w:t>
        </w:r>
      </w:hyperlink>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0F">
      <w:pPr>
        <w:spacing w:before="12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Đối tượng áp dụng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Đã tốt nghiệp THCS.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Đúng độ tuổi quy định học sinh vào lớp 10 (Sinh năm 2010; 15 tuổi) hoặc các trường hợp học trước tuổi theo quy định của Sở GD&amp;ĐT Hà Nội.</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Tham gia kỳ thi tuyển sinh lớp 10 THPT năm học 2025-2026 của Sở GD&amp;ĐT Hà Nội.</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sinh đã đăng ký hồ sơ tuyển sinh vào l</w:t>
      </w:r>
      <w:r w:rsidDel="00000000" w:rsidR="00000000" w:rsidRPr="00000000">
        <w:rPr>
          <w:rFonts w:ascii="Times New Roman" w:cs="Times New Roman" w:eastAsia="Times New Roman" w:hAnsi="Times New Roman"/>
          <w:sz w:val="26"/>
          <w:szCs w:val="26"/>
          <w:rtl w:val="0"/>
        </w:rPr>
        <w:t xml:space="preserve">ớp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10 </w:t>
      </w:r>
      <w:r w:rsidDel="00000000" w:rsidR="00000000" w:rsidRPr="00000000">
        <w:rPr>
          <w:rFonts w:ascii="Times New Roman" w:cs="Times New Roman" w:eastAsia="Times New Roman" w:hAnsi="Times New Roman"/>
          <w:sz w:val="26"/>
          <w:szCs w:val="26"/>
          <w:rtl w:val="0"/>
        </w:rPr>
        <w:t xml:space="preserve">trên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ứng dụng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0"/>
          <w:smallCaps w:val="0"/>
          <w:strike w:val="0"/>
          <w:color w:val="000000"/>
          <w:sz w:val="26"/>
          <w:szCs w:val="26"/>
          <w:u w:val="none"/>
          <w:shd w:fill="auto" w:val="clear"/>
          <w:vertAlign w:val="baseline"/>
          <w:rtl w:val="0"/>
        </w:rPr>
        <w:t xml:space="preserve">Tuyển sinh LTV</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Hướng dẫn đăng ký: </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Mua Mã hồ sơ tuyển sinh (</w:t>
      </w:r>
      <w:r w:rsidDel="00000000" w:rsidR="00000000" w:rsidRPr="00000000">
        <w:rPr>
          <w:rFonts w:ascii="Times New Roman" w:cs="Times New Roman" w:eastAsia="Times New Roman" w:hAnsi="Times New Roman"/>
          <w:sz w:val="26"/>
          <w:szCs w:val="26"/>
          <w:rtl w:val="0"/>
        </w:rPr>
        <w:t xml:space="preserve">trực tuyến)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trên ứng dụng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Tuyển sinh LTV</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Hoàn thành khai hồ sơ tuyển sinh trên ứng dụng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Tuyển sinh LTV</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27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Bước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Đăng ký v</w:t>
      </w:r>
      <w:r w:rsidDel="00000000" w:rsidR="00000000" w:rsidRPr="00000000">
        <w:rPr>
          <w:rFonts w:ascii="Times New Roman" w:cs="Times New Roman" w:eastAsia="Times New Roman" w:hAnsi="Times New Roman"/>
          <w:sz w:val="26"/>
          <w:szCs w:val="26"/>
          <w:rtl w:val="0"/>
        </w:rPr>
        <w:t xml:space="preserve">à hoàn thành lệ phí</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tham </w:t>
      </w:r>
      <w:r w:rsidDel="00000000" w:rsidR="00000000" w:rsidRPr="00000000">
        <w:rPr>
          <w:rFonts w:ascii="Times New Roman" w:cs="Times New Roman" w:eastAsia="Times New Roman" w:hAnsi="Times New Roman"/>
          <w:sz w:val="26"/>
          <w:szCs w:val="26"/>
          <w:rtl w:val="0"/>
        </w:rPr>
        <w:t xml:space="preserve">dự</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kỳ thi Học bổng Văn Như Cương</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 đăng ký</w:t>
      </w:r>
      <w:r w:rsidDel="00000000" w:rsidR="00000000" w:rsidRPr="00000000">
        <w:rPr>
          <w:rFonts w:ascii="Times New Roman" w:cs="Times New Roman" w:eastAsia="Times New Roman" w:hAnsi="Times New Roman"/>
          <w:b w:val="1"/>
          <w:sz w:val="26"/>
          <w:szCs w:val="26"/>
          <w:rtl w:val="0"/>
        </w:rPr>
        <w:t xml:space="preserve"> và</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tổ chức kỳ thi Học bổng</w:t>
      </w:r>
    </w:p>
    <w:p w:rsidR="00000000" w:rsidDel="00000000" w:rsidP="00000000" w:rsidRDefault="00000000" w:rsidRPr="00000000" w14:paraId="0000001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 đăng ký: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Từ 31/3/2025 đến 10/5/2025. </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Thời gian thi: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Chủ nhật, ngày 18/5/2025.</w:t>
      </w:r>
      <w:r w:rsidDel="00000000" w:rsidR="00000000" w:rsidRPr="00000000">
        <w:rPr>
          <w:rtl w:val="0"/>
        </w:rPr>
      </w:r>
    </w:p>
    <w:p w:rsidR="00000000" w:rsidDel="00000000" w:rsidP="00000000" w:rsidRDefault="00000000" w:rsidRPr="00000000" w14:paraId="0000001B">
      <w:pPr>
        <w:numPr>
          <w:ilvl w:val="0"/>
          <w:numId w:val="2"/>
        </w:numPr>
        <w:spacing w:line="276" w:lineRule="auto"/>
        <w:ind w:left="720" w:hanging="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Lệ phí đăng ký:</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770.000 VNĐ</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spacing w:line="276" w:lineRule="auto"/>
        <w:ind w:left="720" w:firstLine="0"/>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i w:val="1"/>
          <w:sz w:val="26"/>
          <w:szCs w:val="26"/>
          <w:rtl w:val="0"/>
        </w:rPr>
        <w:t xml:space="preserve">Lưu ý:</w:t>
      </w:r>
      <w:r w:rsidDel="00000000" w:rsidR="00000000" w:rsidRPr="00000000">
        <w:rPr>
          <w:rtl w:val="0"/>
        </w:rPr>
      </w:r>
    </w:p>
    <w:p w:rsidR="00000000" w:rsidDel="00000000" w:rsidP="00000000" w:rsidRDefault="00000000" w:rsidRPr="00000000" w14:paraId="0000001D">
      <w:pPr>
        <w:numPr>
          <w:ilvl w:val="0"/>
          <w:numId w:val="12"/>
        </w:numPr>
        <w:shd w:fill="ffffff" w:val="clear"/>
        <w:spacing w:line="276" w:lineRule="auto"/>
        <w:ind w:left="1440" w:hanging="360"/>
        <w:rPr>
          <w:rFonts w:ascii="Times New Roman" w:cs="Times New Roman" w:eastAsia="Times New Roman" w:hAnsi="Times New Roman"/>
          <w:i w:val="1"/>
          <w:sz w:val="26"/>
          <w:szCs w:val="26"/>
          <w:u w:val="none"/>
        </w:rPr>
      </w:pPr>
      <w:r w:rsidDel="00000000" w:rsidR="00000000" w:rsidRPr="00000000">
        <w:rPr>
          <w:rFonts w:ascii="Times New Roman" w:cs="Times New Roman" w:eastAsia="Times New Roman" w:hAnsi="Times New Roman"/>
          <w:i w:val="1"/>
          <w:sz w:val="26"/>
          <w:szCs w:val="26"/>
          <w:rtl w:val="0"/>
        </w:rPr>
        <w:t xml:space="preserve">Phí đăng ký dự thi chỉ nộp một lần duy nhất trước khi thi và trong thời gian nhận đăng ký.</w:t>
      </w:r>
    </w:p>
    <w:p w:rsidR="00000000" w:rsidDel="00000000" w:rsidP="00000000" w:rsidRDefault="00000000" w:rsidRPr="00000000" w14:paraId="0000001E">
      <w:pPr>
        <w:numPr>
          <w:ilvl w:val="0"/>
          <w:numId w:val="12"/>
        </w:numPr>
        <w:shd w:fill="ffffff" w:val="clear"/>
        <w:spacing w:line="276" w:lineRule="auto"/>
        <w:ind w:left="1440" w:hanging="360"/>
        <w:rPr>
          <w:rFonts w:ascii="Times New Roman" w:cs="Times New Roman" w:eastAsia="Times New Roman" w:hAnsi="Times New Roman"/>
          <w:i w:val="1"/>
          <w:sz w:val="26"/>
          <w:szCs w:val="26"/>
          <w:u w:val="none"/>
        </w:rPr>
      </w:pPr>
      <w:r w:rsidDel="00000000" w:rsidR="00000000" w:rsidRPr="00000000">
        <w:rPr>
          <w:rFonts w:ascii="Times New Roman" w:cs="Times New Roman" w:eastAsia="Times New Roman" w:hAnsi="Times New Roman"/>
          <w:i w:val="1"/>
          <w:sz w:val="26"/>
          <w:szCs w:val="26"/>
          <w:rtl w:val="0"/>
        </w:rPr>
        <w:t xml:space="preserve">Phí đăng ký dự thi không được chuyển nhượng, hoàn trả trong mọi trường hợp.</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Cấu trúc bài thi</w:t>
      </w:r>
    </w:p>
    <w:p w:rsidR="00000000" w:rsidDel="00000000" w:rsidP="00000000" w:rsidRDefault="00000000" w:rsidRPr="00000000" w14:paraId="00000020">
      <w:pPr>
        <w:spacing w:line="276" w:lineRule="auto"/>
        <w:ind w:firstLine="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Đánh giá toàn diện năng lực học tập và tư duy của học sinh, nội dung đánh giá dựa trên chương trình của Bộ GD&amp;ĐT.</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Môn thi </w:t>
      </w:r>
      <w:r w:rsidDel="00000000" w:rsidR="00000000" w:rsidRPr="00000000">
        <w:rPr>
          <w:rFonts w:ascii="Times New Roman" w:cs="Times New Roman" w:eastAsia="Times New Roman" w:hAnsi="Times New Roman"/>
          <w:b w:val="1"/>
          <w:sz w:val="26"/>
          <w:szCs w:val="26"/>
          <w:rtl w:val="0"/>
        </w:rPr>
        <w:t xml:space="preserve">và 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hời gian thi:</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Toán: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Tư duy logic, vận dụng cao – Thời gian: </w:t>
      </w: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 phút.</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Ngữ Văn: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hiểu, nghị luận xã hội/nghị luận văn học – Thời gian: </w:t>
      </w:r>
      <w:r w:rsidDel="00000000" w:rsidR="00000000" w:rsidRPr="00000000">
        <w:rPr>
          <w:rFonts w:ascii="Times New Roman" w:cs="Times New Roman" w:eastAsia="Times New Roman" w:hAnsi="Times New Roman"/>
          <w:sz w:val="26"/>
          <w:szCs w:val="26"/>
          <w:rtl w:val="0"/>
        </w:rPr>
        <w:t xml:space="preserve">12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0 phút.</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Anh: </w:t>
      </w:r>
      <w:r w:rsidDel="00000000" w:rsidR="00000000" w:rsidRPr="00000000">
        <w:rPr>
          <w:rFonts w:ascii="Times New Roman" w:cs="Times New Roman" w:eastAsia="Times New Roman" w:hAnsi="Times New Roman"/>
          <w:sz w:val="26"/>
          <w:szCs w:val="26"/>
          <w:rtl w:val="0"/>
        </w:rPr>
        <w:t xml:space="preserve">Kiểm tra ngữ âm, từ vựng, ngữ pháp, kiến thức ngôn ngữ, đọc hiểu</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Thời gian: 60 phút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Quyền lợi học bổng:</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Cơ hội được tuyển thẳng.</w:t>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Được cộng điểm xét tuyển tuyển sinh vào lớp 10.</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Hỗ trợ học phí cơ bản.</w:t>
      </w:r>
    </w:p>
    <w:p w:rsidR="00000000" w:rsidDel="00000000" w:rsidP="00000000" w:rsidRDefault="00000000" w:rsidRPr="00000000" w14:paraId="0000002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 tiết mức học phí được hỗ trợ và mức điểm cộng quy đổi:</w:t>
      </w:r>
    </w:p>
    <w:tbl>
      <w:tblPr>
        <w:tblStyle w:val="Table2"/>
        <w:tblW w:w="95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8"/>
        <w:gridCol w:w="3247"/>
        <w:gridCol w:w="5580"/>
        <w:tblGridChange w:id="0">
          <w:tblGrid>
            <w:gridCol w:w="708"/>
            <w:gridCol w:w="3247"/>
            <w:gridCol w:w="5580"/>
          </w:tblGrid>
        </w:tblGridChange>
      </w:tblGrid>
      <w:tr>
        <w:trPr>
          <w:cantSplit w:val="0"/>
          <w:trHeight w:val="283" w:hRule="atLeast"/>
          <w:tblHeader w:val="0"/>
        </w:trPr>
        <w:tc>
          <w:tcPr>
            <w:vAlign w:val="center"/>
          </w:tcPr>
          <w:p w:rsidR="00000000" w:rsidDel="00000000" w:rsidP="00000000" w:rsidRDefault="00000000" w:rsidRPr="00000000" w14:paraId="0000002A">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STT</w:t>
            </w:r>
          </w:p>
        </w:tc>
        <w:tc>
          <w:tcPr>
            <w:vAlign w:val="center"/>
          </w:tcPr>
          <w:p w:rsidR="00000000" w:rsidDel="00000000" w:rsidP="00000000" w:rsidRDefault="00000000" w:rsidRPr="00000000" w14:paraId="0000002B">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hạng</w:t>
            </w:r>
          </w:p>
        </w:tc>
        <w:tc>
          <w:tcPr>
            <w:vAlign w:val="center"/>
          </w:tcPr>
          <w:p w:rsidR="00000000" w:rsidDel="00000000" w:rsidP="00000000" w:rsidRDefault="00000000" w:rsidRPr="00000000" w14:paraId="0000002C">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Quyền lợi</w:t>
            </w:r>
          </w:p>
        </w:tc>
      </w:tr>
      <w:tr>
        <w:trPr>
          <w:cantSplit w:val="0"/>
          <w:trHeight w:val="510" w:hRule="atLeast"/>
          <w:tblHeader w:val="0"/>
        </w:trPr>
        <w:tc>
          <w:tcPr>
            <w:vAlign w:val="center"/>
          </w:tcPr>
          <w:p w:rsidR="00000000" w:rsidDel="00000000" w:rsidP="00000000" w:rsidRDefault="00000000" w:rsidRPr="00000000" w14:paraId="0000002D">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w:t>
            </w:r>
          </w:p>
        </w:tc>
        <w:tc>
          <w:tcPr>
            <w:vAlign w:val="center"/>
          </w:tcPr>
          <w:p w:rsidR="00000000" w:rsidDel="00000000" w:rsidP="00000000" w:rsidRDefault="00000000" w:rsidRPr="00000000" w14:paraId="0000002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Thủ khoa (Top 1)</w:t>
            </w:r>
          </w:p>
        </w:tc>
        <w:tc>
          <w:tcPr>
            <w:vAlign w:val="center"/>
          </w:tcPr>
          <w:p w:rsidR="00000000" w:rsidDel="00000000" w:rsidP="00000000" w:rsidRDefault="00000000" w:rsidRPr="00000000" w14:paraId="0000002F">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100% học phí cơ bản năm học đầu tiên*</w:t>
            </w:r>
          </w:p>
        </w:tc>
      </w:tr>
      <w:tr>
        <w:trPr>
          <w:cantSplit w:val="0"/>
          <w:trHeight w:val="537" w:hRule="atLeast"/>
          <w:tblHeader w:val="0"/>
        </w:trPr>
        <w:tc>
          <w:tcPr>
            <w:vAlign w:val="center"/>
          </w:tcPr>
          <w:p w:rsidR="00000000" w:rsidDel="00000000" w:rsidP="00000000" w:rsidRDefault="00000000" w:rsidRPr="00000000" w14:paraId="00000030">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w:t>
            </w:r>
          </w:p>
        </w:tc>
        <w:tc>
          <w:tcPr>
            <w:vAlign w:val="center"/>
          </w:tcPr>
          <w:p w:rsidR="00000000" w:rsidDel="00000000" w:rsidP="00000000" w:rsidRDefault="00000000" w:rsidRPr="00000000" w14:paraId="0000003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2 – 5 </w:t>
            </w:r>
          </w:p>
        </w:tc>
        <w:tc>
          <w:tcPr>
            <w:vAlign w:val="center"/>
          </w:tcPr>
          <w:p w:rsidR="00000000" w:rsidDel="00000000" w:rsidP="00000000" w:rsidRDefault="00000000" w:rsidRPr="00000000" w14:paraId="00000032">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50% học phí cơ bản năm học đầu tiên*</w:t>
            </w:r>
          </w:p>
        </w:tc>
      </w:tr>
      <w:tr>
        <w:trPr>
          <w:cantSplit w:val="0"/>
          <w:trHeight w:val="528" w:hRule="atLeast"/>
          <w:tblHeader w:val="0"/>
        </w:trPr>
        <w:tc>
          <w:tcPr>
            <w:vAlign w:val="center"/>
          </w:tcPr>
          <w:p w:rsidR="00000000" w:rsidDel="00000000" w:rsidP="00000000" w:rsidRDefault="00000000" w:rsidRPr="00000000" w14:paraId="00000033">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w:t>
            </w:r>
          </w:p>
        </w:tc>
        <w:tc>
          <w:tcPr>
            <w:vAlign w:val="center"/>
          </w:tcPr>
          <w:p w:rsidR="00000000" w:rsidDel="00000000" w:rsidP="00000000" w:rsidRDefault="00000000" w:rsidRPr="00000000" w14:paraId="0000003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6 – 10 </w:t>
            </w:r>
          </w:p>
        </w:tc>
        <w:tc>
          <w:tcPr>
            <w:vAlign w:val="center"/>
          </w:tcPr>
          <w:p w:rsidR="00000000" w:rsidDel="00000000" w:rsidP="00000000" w:rsidRDefault="00000000" w:rsidRPr="00000000" w14:paraId="0000003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 học phí cơ bản năm học đầu tiên*</w:t>
            </w:r>
          </w:p>
        </w:tc>
      </w:tr>
      <w:tr>
        <w:trPr>
          <w:cantSplit w:val="0"/>
          <w:trHeight w:val="528" w:hRule="atLeast"/>
          <w:tblHeader w:val="0"/>
        </w:trPr>
        <w:tc>
          <w:tcPr>
            <w:vAlign w:val="center"/>
          </w:tcPr>
          <w:p w:rsidR="00000000" w:rsidDel="00000000" w:rsidP="00000000" w:rsidRDefault="00000000" w:rsidRPr="00000000" w14:paraId="00000036">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4</w:t>
            </w:r>
          </w:p>
        </w:tc>
        <w:tc>
          <w:tcPr>
            <w:vAlign w:val="center"/>
          </w:tcPr>
          <w:p w:rsidR="00000000" w:rsidDel="00000000" w:rsidP="00000000" w:rsidRDefault="00000000" w:rsidRPr="00000000" w14:paraId="0000003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11 – 100</w:t>
            </w:r>
          </w:p>
        </w:tc>
        <w:tc>
          <w:tcPr>
            <w:vAlign w:val="center"/>
          </w:tcPr>
          <w:p w:rsidR="00000000" w:rsidDel="00000000" w:rsidP="00000000" w:rsidRDefault="00000000" w:rsidRPr="00000000" w14:paraId="00000038">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3 điểm vào điểm xét tuyển</w:t>
            </w:r>
          </w:p>
        </w:tc>
      </w:tr>
      <w:tr>
        <w:trPr>
          <w:cantSplit w:val="0"/>
          <w:trHeight w:val="537" w:hRule="atLeast"/>
          <w:tblHeader w:val="0"/>
        </w:trPr>
        <w:tc>
          <w:tcPr>
            <w:vAlign w:val="center"/>
          </w:tcPr>
          <w:p w:rsidR="00000000" w:rsidDel="00000000" w:rsidP="00000000" w:rsidRDefault="00000000" w:rsidRPr="00000000" w14:paraId="00000039">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c>
          <w:tcPr>
            <w:vAlign w:val="center"/>
          </w:tcPr>
          <w:p w:rsidR="00000000" w:rsidDel="00000000" w:rsidP="00000000" w:rsidRDefault="00000000" w:rsidRPr="00000000" w14:paraId="0000003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101 – 200</w:t>
            </w:r>
          </w:p>
        </w:tc>
        <w:tc>
          <w:tcPr>
            <w:vAlign w:val="center"/>
          </w:tcPr>
          <w:p w:rsidR="00000000" w:rsidDel="00000000" w:rsidP="00000000" w:rsidRDefault="00000000" w:rsidRPr="00000000" w14:paraId="0000003B">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2,5 điểm vào điểm xét tuyển</w:t>
            </w:r>
          </w:p>
        </w:tc>
      </w:tr>
      <w:tr>
        <w:trPr>
          <w:cantSplit w:val="0"/>
          <w:trHeight w:val="519" w:hRule="atLeast"/>
          <w:tblHeader w:val="0"/>
        </w:trPr>
        <w:tc>
          <w:tcPr>
            <w:vAlign w:val="center"/>
          </w:tcPr>
          <w:p w:rsidR="00000000" w:rsidDel="00000000" w:rsidP="00000000" w:rsidRDefault="00000000" w:rsidRPr="00000000" w14:paraId="0000003C">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p>
        </w:tc>
        <w:tc>
          <w:tcPr>
            <w:vAlign w:val="center"/>
          </w:tcPr>
          <w:p w:rsidR="00000000" w:rsidDel="00000000" w:rsidP="00000000" w:rsidRDefault="00000000" w:rsidRPr="00000000" w14:paraId="0000003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201 – 300</w:t>
            </w:r>
          </w:p>
        </w:tc>
        <w:tc>
          <w:tcPr>
            <w:vAlign w:val="center"/>
          </w:tcPr>
          <w:p w:rsidR="00000000" w:rsidDel="00000000" w:rsidP="00000000" w:rsidRDefault="00000000" w:rsidRPr="00000000" w14:paraId="0000003E">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2 điểm vào điểm xét tuyển</w:t>
            </w:r>
          </w:p>
        </w:tc>
      </w:tr>
      <w:tr>
        <w:trPr>
          <w:cantSplit w:val="0"/>
          <w:trHeight w:val="537" w:hRule="atLeast"/>
          <w:tblHeader w:val="0"/>
        </w:trPr>
        <w:tc>
          <w:tcPr>
            <w:vAlign w:val="center"/>
          </w:tcPr>
          <w:p w:rsidR="00000000" w:rsidDel="00000000" w:rsidP="00000000" w:rsidRDefault="00000000" w:rsidRPr="00000000" w14:paraId="0000003F">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w:t>
            </w:r>
          </w:p>
        </w:tc>
        <w:tc>
          <w:tcPr>
            <w:vAlign w:val="center"/>
          </w:tcPr>
          <w:p w:rsidR="00000000" w:rsidDel="00000000" w:rsidP="00000000" w:rsidRDefault="00000000" w:rsidRPr="00000000" w14:paraId="0000004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301 – 400</w:t>
            </w:r>
          </w:p>
        </w:tc>
        <w:tc>
          <w:tcPr>
            <w:vAlign w:val="center"/>
          </w:tcPr>
          <w:p w:rsidR="00000000" w:rsidDel="00000000" w:rsidP="00000000" w:rsidRDefault="00000000" w:rsidRPr="00000000" w14:paraId="00000041">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1,5 điểm vào điểm xét tuyển</w:t>
            </w:r>
          </w:p>
        </w:tc>
      </w:tr>
      <w:tr>
        <w:trPr>
          <w:cantSplit w:val="0"/>
          <w:trHeight w:val="528" w:hRule="atLeast"/>
          <w:tblHeader w:val="0"/>
        </w:trPr>
        <w:tc>
          <w:tcPr>
            <w:vAlign w:val="center"/>
          </w:tcPr>
          <w:p w:rsidR="00000000" w:rsidDel="00000000" w:rsidP="00000000" w:rsidRDefault="00000000" w:rsidRPr="00000000" w14:paraId="00000042">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w:t>
            </w:r>
          </w:p>
        </w:tc>
        <w:tc>
          <w:tcPr>
            <w:vAlign w:val="center"/>
          </w:tcPr>
          <w:p w:rsidR="00000000" w:rsidDel="00000000" w:rsidP="00000000" w:rsidRDefault="00000000" w:rsidRPr="00000000" w14:paraId="0000004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401 – 500</w:t>
            </w:r>
          </w:p>
        </w:tc>
        <w:tc>
          <w:tcPr>
            <w:vAlign w:val="center"/>
          </w:tcPr>
          <w:p w:rsidR="00000000" w:rsidDel="00000000" w:rsidP="00000000" w:rsidRDefault="00000000" w:rsidRPr="00000000" w14:paraId="00000044">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1 điểm vào điểm xét tuyển</w:t>
            </w:r>
          </w:p>
        </w:tc>
      </w:tr>
      <w:tr>
        <w:trPr>
          <w:cantSplit w:val="0"/>
          <w:trHeight w:val="528" w:hRule="atLeast"/>
          <w:tblHeader w:val="0"/>
        </w:trPr>
        <w:tc>
          <w:tcPr>
            <w:vAlign w:val="center"/>
          </w:tcPr>
          <w:p w:rsidR="00000000" w:rsidDel="00000000" w:rsidP="00000000" w:rsidRDefault="00000000" w:rsidRPr="00000000" w14:paraId="00000045">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9</w:t>
            </w:r>
          </w:p>
        </w:tc>
        <w:tc>
          <w:tcPr>
            <w:vAlign w:val="center"/>
          </w:tcPr>
          <w:p w:rsidR="00000000" w:rsidDel="00000000" w:rsidP="00000000" w:rsidRDefault="00000000" w:rsidRPr="00000000" w14:paraId="0000004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TOP 501 - 600</w:t>
            </w:r>
          </w:p>
        </w:tc>
        <w:tc>
          <w:tcPr>
            <w:vAlign w:val="center"/>
          </w:tcPr>
          <w:p w:rsidR="00000000" w:rsidDel="00000000" w:rsidP="00000000" w:rsidRDefault="00000000" w:rsidRPr="00000000" w14:paraId="00000047">
            <w:pPr>
              <w:spacing w:line="276"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Cộng 0,5 điểm vào điểm xét tuyển</w:t>
            </w:r>
          </w:p>
        </w:tc>
      </w:tr>
    </w:tbl>
    <w:p w:rsidR="00000000" w:rsidDel="00000000" w:rsidP="00000000" w:rsidRDefault="00000000" w:rsidRPr="00000000" w14:paraId="00000048">
      <w:pPr>
        <w:spacing w:before="120" w:line="276" w:lineRule="auto"/>
        <w:ind w:firstLine="36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Điều kiện duy trì học bổng học kỳ 2 (Áp dụng cho Top 10)</w:t>
      </w:r>
      <w:r w:rsidDel="00000000" w:rsidR="00000000" w:rsidRPr="00000000">
        <w:rPr>
          <w:rFonts w:ascii="Times New Roman" w:cs="Times New Roman" w:eastAsia="Times New Roman" w:hAnsi="Times New Roman"/>
          <w:sz w:val="26"/>
          <w:szCs w:val="26"/>
          <w:rtl w:val="0"/>
        </w:rPr>
        <w:t xml:space="preserve">: Điểm tổng kết học kỳ 1 của các môn chuyên ban (HS đã chọn) ≥ 8,5.</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120" w:line="276" w:lineRule="auto"/>
        <w:ind w:left="720" w:right="0" w:hanging="36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Cách tính điểm xét tuyển</w:t>
      </w:r>
    </w:p>
    <w:p w:rsidR="00000000" w:rsidDel="00000000" w:rsidP="00000000" w:rsidRDefault="00000000" w:rsidRPr="00000000" w14:paraId="0000004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Sử dụng kết quả của kỳ thi tuyển sinh vào lớp 10 THPT của TP Hà Nội:</w:t>
      </w:r>
    </w:p>
    <w:tbl>
      <w:tblPr>
        <w:tblStyle w:val="Table3"/>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50"/>
        <w:tblGridChange w:id="0">
          <w:tblGrid>
            <w:gridCol w:w="9350"/>
          </w:tblGrid>
        </w:tblGridChange>
      </w:tblGrid>
      <w:tr>
        <w:trPr>
          <w:cantSplit w:val="0"/>
          <w:tblHeader w:val="0"/>
        </w:trPr>
        <w:tc>
          <w:tcPr/>
          <w:p w:rsidR="00000000" w:rsidDel="00000000" w:rsidP="00000000" w:rsidRDefault="00000000" w:rsidRPr="00000000" w14:paraId="0000004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ĐXT = Điểm Toán + Điểm Ngữ Văn + Điểm Tiếng Anh + Điểm cộng học bổng VNC </w:t>
            </w:r>
            <w:r w:rsidDel="00000000" w:rsidR="00000000" w:rsidRPr="00000000">
              <w:rPr>
                <w:rFonts w:ascii="Times New Roman" w:cs="Times New Roman" w:eastAsia="Times New Roman" w:hAnsi="Times New Roman"/>
                <w:i w:val="1"/>
                <w:sz w:val="26"/>
                <w:szCs w:val="26"/>
                <w:rtl w:val="0"/>
              </w:rPr>
              <w:t xml:space="preserve">(nếu có)</w:t>
            </w:r>
            <w:r w:rsidDel="00000000" w:rsidR="00000000" w:rsidRPr="00000000">
              <w:rPr>
                <w:rtl w:val="0"/>
              </w:rPr>
            </w:r>
          </w:p>
        </w:tc>
      </w:tr>
    </w:tbl>
    <w:p w:rsidR="00000000" w:rsidDel="00000000" w:rsidP="00000000" w:rsidRDefault="00000000" w:rsidRPr="00000000" w14:paraId="0000004C">
      <w:pPr>
        <w:spacing w:before="120" w:line="276"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Mô phỏng cách tính điểm xét tuyển với học sinh tham dự kỳ thi Học bổng Văn Như Cương:</w:t>
      </w:r>
    </w:p>
    <w:p w:rsidR="00000000" w:rsidDel="00000000" w:rsidP="00000000" w:rsidRDefault="00000000" w:rsidRPr="00000000" w14:paraId="0000004D">
      <w:pPr>
        <w:spacing w:line="276"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Học sinh Nguyễn Văn A tham gia kỳ thi Học bổng Văn Như Cương đạt </w:t>
      </w:r>
      <w:r w:rsidDel="00000000" w:rsidR="00000000" w:rsidRPr="00000000">
        <w:rPr>
          <w:rFonts w:ascii="Times New Roman" w:cs="Times New Roman" w:eastAsia="Times New Roman" w:hAnsi="Times New Roman"/>
          <w:b w:val="1"/>
          <w:i w:val="1"/>
          <w:sz w:val="26"/>
          <w:szCs w:val="26"/>
          <w:rtl w:val="0"/>
        </w:rPr>
        <w:t xml:space="preserve">TOP 100</w:t>
      </w:r>
      <w:r w:rsidDel="00000000" w:rsidR="00000000" w:rsidRPr="00000000">
        <w:rPr>
          <w:rFonts w:ascii="Times New Roman" w:cs="Times New Roman" w:eastAsia="Times New Roman" w:hAnsi="Times New Roman"/>
          <w:i w:val="1"/>
          <w:sz w:val="26"/>
          <w:szCs w:val="26"/>
          <w:rtl w:val="0"/>
        </w:rPr>
        <w:t xml:space="preserve">, được cộng </w:t>
      </w:r>
      <w:r w:rsidDel="00000000" w:rsidR="00000000" w:rsidRPr="00000000">
        <w:rPr>
          <w:rFonts w:ascii="Times New Roman" w:cs="Times New Roman" w:eastAsia="Times New Roman" w:hAnsi="Times New Roman"/>
          <w:b w:val="1"/>
          <w:i w:val="1"/>
          <w:sz w:val="26"/>
          <w:szCs w:val="26"/>
          <w:rtl w:val="0"/>
        </w:rPr>
        <w:t xml:space="preserve">3 điểm học bổng</w:t>
      </w:r>
      <w:r w:rsidDel="00000000" w:rsidR="00000000" w:rsidRPr="00000000">
        <w:rPr>
          <w:rFonts w:ascii="Times New Roman" w:cs="Times New Roman" w:eastAsia="Times New Roman" w:hAnsi="Times New Roman"/>
          <w:i w:val="1"/>
          <w:sz w:val="26"/>
          <w:szCs w:val="26"/>
          <w:rtl w:val="0"/>
        </w:rPr>
        <w:t xml:space="preserve">. Chi tiết tính xét tuyển như sau:</w:t>
      </w:r>
    </w:p>
    <w:p w:rsidR="00000000" w:rsidDel="00000000" w:rsidP="00000000" w:rsidRDefault="00000000" w:rsidRPr="00000000" w14:paraId="0000004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Toán theo kỳ thi vào 10: 9.0</w:t>
      </w:r>
    </w:p>
    <w:p w:rsidR="00000000" w:rsidDel="00000000" w:rsidP="00000000" w:rsidRDefault="00000000" w:rsidRPr="00000000" w14:paraId="0000004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Ngữ Văn theo kỳ thi vào 10: 8.5</w:t>
      </w:r>
    </w:p>
    <w:p w:rsidR="00000000" w:rsidDel="00000000" w:rsidP="00000000" w:rsidRDefault="00000000" w:rsidRPr="00000000" w14:paraId="0000005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Tiếng Anh theo kỳ thi vào 10: 8.8</w:t>
      </w:r>
    </w:p>
    <w:p w:rsidR="00000000" w:rsidDel="00000000" w:rsidP="00000000" w:rsidRDefault="00000000" w:rsidRPr="00000000" w14:paraId="0000005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ưu tiên: 0</w:t>
      </w:r>
    </w:p>
    <w:p w:rsidR="00000000" w:rsidDel="00000000" w:rsidP="00000000" w:rsidRDefault="00000000" w:rsidRPr="00000000" w14:paraId="0000005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cộng học bổng VNC: 3 điểm</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Điểm xét tuyển (ĐXT) = 9.0 + 8.5 + 8.8 + 0 + 3 = </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29.3 điểm.</w:t>
      </w:r>
      <w:r w:rsidDel="00000000" w:rsidR="00000000" w:rsidRPr="00000000">
        <w:rPr>
          <w:rtl w:val="0"/>
        </w:rPr>
      </w:r>
    </w:p>
    <w:sectPr>
      <w:pgSz w:h="15840" w:w="12240" w:orient="portrait"/>
      <w:pgMar w:bottom="1440" w:top="1118" w:left="1440" w:right="126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2"/>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3"/>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2"/>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3"/>
      <w:numFmt w:val="decimal"/>
      <w:lvlText w:val="%1."/>
      <w:lvlJc w:val="left"/>
      <w:pPr>
        <w:ind w:left="72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Calibri" w:cs="Calibri" w:eastAsia="Calibri" w:hAnsi="Calibri"/>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uyensinh.luongthevinh.com.vn/hbvnc"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